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spacing w:after="200"/>
        <w:jc w:val="center"/>
      </w:pPr>
      <w:r>
        <w:t xml:space="preserve">User Story Template</w:t>
      </w:r>
    </w:p>
    <w:p>
      <w:pPr>
        <w:spacing w:after="320"/>
        <w:jc w:val="center"/>
      </w:pPr>
      <w:r>
        <w:rPr>
          <w:b/>
          <w:bCs/>
          <w:color w:val="5a6a7a"/>
          <w:sz w:val="22"/>
          <w:szCs w:val="22"/>
        </w:rPr>
        <w:t xml:space="preserve">BAHub — BusinessAnalysis.hopto.org</w:t>
      </w:r>
    </w:p>
    <w:p>
      <w:pPr>
        <w:spacing w:after="80"/>
      </w:pPr>
      <w:r>
        <w:rPr>
          <w:b/>
          <w:bCs/>
          <w:sz w:val="22"/>
          <w:szCs w:val="22"/>
        </w:rPr>
        <w:t xml:space="preserve">Story ID: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Sprint / Iteration: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Author: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Date: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120"/>
      </w:pPr>
    </w:p>
    <w:p>
      <w:pPr>
        <w:pStyle w:val="Heading2"/>
        <w:spacing w:after="120" w:before="400"/>
      </w:pPr>
      <w:r>
        <w:t xml:space="preserve">1. Story Statement</w:t>
      </w:r>
    </w:p>
    <w:p>
      <w:pPr>
        <w:spacing w:after="80"/>
      </w:pPr>
      <w:r>
        <w:rPr>
          <w:b/>
          <w:bCs/>
          <w:color w:val="1e3a5f"/>
          <w:sz w:val="20"/>
          <w:szCs w:val="20"/>
        </w:rPr>
        <w:t xml:space="preserve">[GUIDANCE] </w:t>
      </w:r>
      <w:r>
        <w:rPr>
          <w:i/>
          <w:iCs/>
          <w:color w:val="1e3a5f"/>
          <w:sz w:val="20"/>
          <w:szCs w:val="20"/>
        </w:rPr>
        <w:t xml:space="preserve">Use the standard Connextra format exactly: "As a [role], I need [capability], so that [benefit]". The role is a persona, not a job title. The benefit must explain business value, not restate the capability. Common pitfall: "so that it works correctly" provides no business context.</w:t>
      </w:r>
    </w:p>
    <w:p>
      <w:pPr>
        <w:spacing w:after="160"/>
      </w:pPr>
      <w:r>
        <w:rPr>
          <w:b/>
          <w:bCs/>
          <w:color w:val="2e7d32"/>
          <w:sz w:val="20"/>
          <w:szCs w:val="20"/>
        </w:rPr>
        <w:t xml:space="preserve">[EXAMPLE] </w:t>
      </w:r>
      <w:r>
        <w:rPr>
          <w:color w:val="2e7d32"/>
          <w:sz w:val="20"/>
          <w:szCs w:val="20"/>
        </w:rPr>
        <w:t xml:space="preserve">As a registered customer, I need to view the real-time stock status of products on the product detail page, so that I do not add out-of-stock items to my basket, avoiding the frustration of discovering unavailability at checkout.</w:t>
      </w:r>
    </w:p>
    <w:p>
      <w:pPr>
        <w:spacing w:after="80"/>
      </w:pPr>
      <w:r>
        <w:rPr>
          <w:b/>
          <w:bCs/>
          <w:sz w:val="22"/>
          <w:szCs w:val="22"/>
        </w:rPr>
        <w:t xml:space="preserve">Role (persona):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Capability needed: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Business benefit / value: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120"/>
      </w:pPr>
    </w:p>
    <w:p>
      <w:pPr>
        <w:pStyle w:val="Heading2"/>
        <w:spacing w:after="120" w:before="400"/>
      </w:pPr>
      <w:r>
        <w:t xml:space="preserve">2. Acceptance Criteria</w:t>
      </w:r>
    </w:p>
    <w:p>
      <w:pPr>
        <w:spacing w:after="80"/>
      </w:pPr>
      <w:r>
        <w:rPr>
          <w:b/>
          <w:bCs/>
          <w:color w:val="1e3a5f"/>
          <w:sz w:val="20"/>
          <w:szCs w:val="20"/>
        </w:rPr>
        <w:t xml:space="preserve">[GUIDANCE] </w:t>
      </w:r>
      <w:r>
        <w:rPr>
          <w:i/>
          <w:iCs/>
          <w:color w:val="1e3a5f"/>
          <w:sz w:val="20"/>
          <w:szCs w:val="20"/>
        </w:rPr>
        <w:t xml:space="preserve">Write each criterion using Given-When-Then (Gherkin) format. Each criterion must be independently testable. Aim for 3-7 criteria per story. Common pitfall: criteria that are ambiguous or require interpretation — every tester should reach the same pass/fail verdict.</w:t>
      </w:r>
    </w:p>
    <w:p>
      <w:pPr>
        <w:spacing w:after="160"/>
      </w:pPr>
      <w:r>
        <w:rPr>
          <w:b/>
          <w:bCs/>
          <w:color w:val="2e7d32"/>
          <w:sz w:val="20"/>
          <w:szCs w:val="20"/>
        </w:rPr>
        <w:t xml:space="preserve">[EXAMPLE] </w:t>
      </w:r>
      <w:r>
        <w:rPr>
          <w:color w:val="2e7d32"/>
          <w:sz w:val="20"/>
          <w:szCs w:val="20"/>
        </w:rPr>
        <w:t xml:space="preserve">AC-1: Given a product with 0 units in stock, When a customer views the product detail page, Then an "Out of Stock" badge is displayed and the Add to Basket button is disabled. AC-2: Given a product with &gt;0 units in stock, When a customer views the product detail page, Then the available quantity is displayed and the Add to Basket button is enabled. AC-3: Given stock falls to 0 after the customer loads the page, When the customer attempts to add to basket, Then an inline error message is shown without full page reload.</w:t>
      </w:r>
    </w:p>
    <w:p>
      <w:pPr>
        <w:spacing w:after="80"/>
      </w:pPr>
      <w:r>
        <w:rPr>
          <w:b/>
          <w:bCs/>
          <w:sz w:val="22"/>
          <w:szCs w:val="22"/>
        </w:rPr>
        <w:t xml:space="preserve">AC-1 (Given-When-Then):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AC-2 (Given-When-Then):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AC-3 (edge case):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120"/>
      </w:pPr>
    </w:p>
    <w:p>
      <w:pPr>
        <w:pStyle w:val="Heading2"/>
        <w:spacing w:after="120" w:before="400"/>
      </w:pPr>
      <w:r>
        <w:t xml:space="preserve">3. Definition of Done</w:t>
      </w:r>
    </w:p>
    <w:p>
      <w:pPr>
        <w:spacing w:after="80"/>
      </w:pPr>
      <w:r>
        <w:rPr>
          <w:b/>
          <w:bCs/>
          <w:color w:val="1e3a5f"/>
          <w:sz w:val="20"/>
          <w:szCs w:val="20"/>
        </w:rPr>
        <w:t xml:space="preserve">[GUIDANCE] </w:t>
      </w:r>
      <w:r>
        <w:rPr>
          <w:i/>
          <w:iCs/>
          <w:color w:val="1e3a5f"/>
          <w:sz w:val="20"/>
          <w:szCs w:val="20"/>
        </w:rPr>
        <w:t xml:space="preserve">List the team-level standards that must be met before this story is accepted as complete. DoD is often a team standard rather than story-specific — but note any story-specific additions here. Common pitfall: confusing DoD (team standard) with acceptance criteria (story-specific behaviour).</w:t>
      </w:r>
    </w:p>
    <w:p>
      <w:pPr>
        <w:spacing w:after="160"/>
      </w:pPr>
      <w:r>
        <w:rPr>
          <w:b/>
          <w:bCs/>
          <w:color w:val="2e7d32"/>
          <w:sz w:val="20"/>
          <w:szCs w:val="20"/>
        </w:rPr>
        <w:t xml:space="preserve">[EXAMPLE] </w:t>
      </w:r>
      <w:r>
        <w:rPr>
          <w:color w:val="2e7d32"/>
          <w:sz w:val="20"/>
          <w:szCs w:val="20"/>
        </w:rPr>
        <w:t xml:space="preserve">Standard DoD: Code reviewed and approved by peer. Unit tests written and passing (coverage &gt;80% for new code). Integration tests passing in CI. Feature toggled off in production if not yet enabled. Story demonstrated to Product Owner in sprint review. Accessibility: no WCAG 2.1 AA regressions. Story-specific additions: API response time validated &lt;200ms under load test.</w:t>
      </w:r>
    </w:p>
    <w:p>
      <w:pPr>
        <w:spacing w:after="80"/>
      </w:pPr>
      <w:r>
        <w:rPr>
          <w:b/>
          <w:bCs/>
          <w:sz w:val="22"/>
          <w:szCs w:val="22"/>
        </w:rPr>
        <w:t xml:space="preserve">Team standard DoD items: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Story-specific DoD additions: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120"/>
      </w:pPr>
    </w:p>
    <w:p>
      <w:pPr>
        <w:pStyle w:val="Heading2"/>
        <w:spacing w:after="120" w:before="400"/>
      </w:pPr>
      <w:r>
        <w:t xml:space="preserve">4. Estimation Guidance</w:t>
      </w:r>
    </w:p>
    <w:p>
      <w:pPr>
        <w:spacing w:after="80"/>
      </w:pPr>
      <w:r>
        <w:rPr>
          <w:b/>
          <w:bCs/>
          <w:color w:val="1e3a5f"/>
          <w:sz w:val="20"/>
          <w:szCs w:val="20"/>
        </w:rPr>
        <w:t xml:space="preserve">[GUIDANCE] </w:t>
      </w:r>
      <w:r>
        <w:rPr>
          <w:i/>
          <w:iCs/>
          <w:color w:val="1e3a5f"/>
          <w:sz w:val="20"/>
          <w:szCs w:val="20"/>
        </w:rPr>
        <w:t xml:space="preserve">Record the agreed story points and capture the rationale for the estimate. This supports future velocity planning and retrospective calibration. Common pitfall: not recording estimation assumptions — when velocity is reviewed, context is lost.</w:t>
      </w:r>
    </w:p>
    <w:p>
      <w:pPr>
        <w:spacing w:after="160"/>
      </w:pPr>
      <w:r>
        <w:rPr>
          <w:b/>
          <w:bCs/>
          <w:color w:val="2e7d32"/>
          <w:sz w:val="20"/>
          <w:szCs w:val="20"/>
        </w:rPr>
        <w:t xml:space="preserve">[EXAMPLE] </w:t>
      </w:r>
      <w:r>
        <w:rPr>
          <w:color w:val="2e7d32"/>
          <w:sz w:val="20"/>
          <w:szCs w:val="20"/>
        </w:rPr>
        <w:t xml:space="preserve">Story Points: 5. Rationale: Backend work estimated at 2 points (API query optimisation), frontend at 2 points (conditional rendering logic), testing/integration at 1 point. Key assumption: the warehouse system API already supports real-time queries (confirmed by [Name] on [Date]). Risk: if the API requires batching, effort increases to 8 points.</w:t>
      </w:r>
    </w:p>
    <w:p>
      <w:pPr>
        <w:spacing w:after="80"/>
      </w:pPr>
      <w:r>
        <w:rPr>
          <w:b/>
          <w:bCs/>
          <w:sz w:val="22"/>
          <w:szCs w:val="22"/>
        </w:rPr>
        <w:t xml:space="preserve">Story Points: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Estimation rationale: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Key assumptions: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Risks to estimate: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120"/>
      </w:pPr>
    </w:p>
    <w:p>
      <w:pPr>
        <w:pStyle w:val="Heading2"/>
        <w:spacing w:after="120" w:before="400"/>
      </w:pPr>
      <w:r>
        <w:t xml:space="preserve">5. Dependency Tracking</w:t>
      </w:r>
    </w:p>
    <w:p>
      <w:pPr>
        <w:spacing w:after="80"/>
      </w:pPr>
      <w:r>
        <w:rPr>
          <w:b/>
          <w:bCs/>
          <w:color w:val="1e3a5f"/>
          <w:sz w:val="20"/>
          <w:szCs w:val="20"/>
        </w:rPr>
        <w:t xml:space="preserve">[GUIDANCE] </w:t>
      </w:r>
      <w:r>
        <w:rPr>
          <w:i/>
          <w:iCs/>
          <w:color w:val="1e3a5f"/>
          <w:sz w:val="20"/>
          <w:szCs w:val="20"/>
        </w:rPr>
        <w:t xml:space="preserve">Identify stories or tasks that must complete before this story can begin, and stories that are blocked by this story. Common pitfall: not surfacing dependencies until mid-sprint, causing blockers.</w:t>
      </w:r>
    </w:p>
    <w:p>
      <w:pPr>
        <w:spacing w:after="160"/>
      </w:pPr>
      <w:r>
        <w:rPr>
          <w:b/>
          <w:bCs/>
          <w:color w:val="2e7d32"/>
          <w:sz w:val="20"/>
          <w:szCs w:val="20"/>
        </w:rPr>
        <w:t xml:space="preserve">[EXAMPLE] </w:t>
      </w:r>
      <w:r>
        <w:rPr>
          <w:color w:val="2e7d32"/>
          <w:sz w:val="20"/>
          <w:szCs w:val="20"/>
        </w:rPr>
        <w:t xml:space="preserve">Blocked by: US-042 — Warehouse API integration (must be deployed to staging before AC testing). Blocks: US-055 — Checkout stock validation (relies on the same API endpoint). External dependency: Warehouse system team to deploy API update by [Date].</w:t>
      </w:r>
    </w:p>
    <w:p>
      <w:pPr>
        <w:spacing w:after="80"/>
      </w:pPr>
      <w:r>
        <w:rPr>
          <w:b/>
          <w:bCs/>
          <w:sz w:val="22"/>
          <w:szCs w:val="22"/>
        </w:rPr>
        <w:t xml:space="preserve">Blocked by (Story ID + description):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Blocks (Story IDs):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External dependencies: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120"/>
      </w:pPr>
    </w:p>
    <w:p>
      <w:pPr>
        <w:pStyle w:val="Heading2"/>
        <w:spacing w:after="120" w:before="400"/>
      </w:pPr>
      <w:r>
        <w:t xml:space="preserve">6. UI/UX Considerations</w:t>
      </w:r>
    </w:p>
    <w:p>
      <w:pPr>
        <w:spacing w:after="80"/>
      </w:pPr>
      <w:r>
        <w:rPr>
          <w:b/>
          <w:bCs/>
          <w:color w:val="1e3a5f"/>
          <w:sz w:val="20"/>
          <w:szCs w:val="20"/>
        </w:rPr>
        <w:t xml:space="preserve">[GUIDANCE] </w:t>
      </w:r>
      <w:r>
        <w:rPr>
          <w:i/>
          <w:iCs/>
          <w:color w:val="1e3a5f"/>
          <w:sz w:val="20"/>
          <w:szCs w:val="20"/>
        </w:rPr>
        <w:t xml:space="preserve">Describe visual and interaction requirements not captured in acceptance criteria. Reference design mockups by file name or link. Common pitfall: leaving UI behaviour ambiguous, causing developer interpretation to conflict with designer intent.</w:t>
      </w:r>
    </w:p>
    <w:p>
      <w:pPr>
        <w:spacing w:after="160"/>
      </w:pPr>
      <w:r>
        <w:rPr>
          <w:b/>
          <w:bCs/>
          <w:color w:val="2e7d32"/>
          <w:sz w:val="20"/>
          <w:szCs w:val="20"/>
        </w:rPr>
        <w:t xml:space="preserve">[EXAMPLE] </w:t>
      </w:r>
      <w:r>
        <w:rPr>
          <w:color w:val="2e7d32"/>
          <w:sz w:val="20"/>
          <w:szCs w:val="20"/>
        </w:rPr>
        <w:t xml:space="preserve">Reference: Figma mockup "Product Detail v3 — Stock States" (link: [URL]). Out-of-stock state: badge uses brand red (#CC0000), placed top-right of product image. Low-stock state (&lt;5 units): display "Only [N] left" in amber (#FF8C00). Stock count updates without full page reload (polling interval: 30 seconds or on user focus).</w:t>
      </w:r>
    </w:p>
    <w:p>
      <w:pPr>
        <w:spacing w:after="80"/>
      </w:pPr>
      <w:r>
        <w:rPr>
          <w:b/>
          <w:bCs/>
          <w:sz w:val="22"/>
          <w:szCs w:val="22"/>
        </w:rPr>
        <w:t xml:space="preserve">Figma / design reference: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Visual state descriptions: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Interaction behaviour: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120"/>
      </w:pPr>
    </w:p>
    <w:p>
      <w:pPr>
        <w:pStyle w:val="Heading2"/>
        <w:spacing w:after="120" w:before="400"/>
      </w:pPr>
      <w:r>
        <w:t xml:space="preserve">7. Data Requirements</w:t>
      </w:r>
    </w:p>
    <w:p>
      <w:pPr>
        <w:spacing w:after="80"/>
      </w:pPr>
      <w:r>
        <w:rPr>
          <w:b/>
          <w:bCs/>
          <w:color w:val="1e3a5f"/>
          <w:sz w:val="20"/>
          <w:szCs w:val="20"/>
        </w:rPr>
        <w:t xml:space="preserve">[GUIDANCE] </w:t>
      </w:r>
      <w:r>
        <w:rPr>
          <w:i/>
          <w:iCs/>
          <w:color w:val="1e3a5f"/>
          <w:sz w:val="20"/>
          <w:szCs w:val="20"/>
        </w:rPr>
        <w:t xml:space="preserve">Describe the data entities, attributes, and volumes this story touches. Common pitfall: not identifying data impacts until development, leading to schema changes mid-sprint.</w:t>
      </w:r>
    </w:p>
    <w:p>
      <w:pPr>
        <w:spacing w:after="160"/>
      </w:pPr>
      <w:r>
        <w:rPr>
          <w:b/>
          <w:bCs/>
          <w:color w:val="2e7d32"/>
          <w:sz w:val="20"/>
          <w:szCs w:val="20"/>
        </w:rPr>
        <w:t xml:space="preserve">[EXAMPLE] </w:t>
      </w:r>
      <w:r>
        <w:rPr>
          <w:color w:val="2e7d32"/>
          <w:sz w:val="20"/>
          <w:szCs w:val="20"/>
        </w:rPr>
        <w:t xml:space="preserve">Data consumed: product_id → stock_level from WarehouseService.getStockLevel(productId). Response schema: { productId: string, available: number, reservedCount: number, lastUpdated: ISO8601 }. Caching: cache for max 30 seconds to reduce API load. No new data entities created. No PII involved.</w:t>
      </w:r>
    </w:p>
    <w:p>
      <w:pPr>
        <w:spacing w:after="80"/>
      </w:pPr>
      <w:r>
        <w:rPr>
          <w:b/>
          <w:bCs/>
          <w:sz w:val="22"/>
          <w:szCs w:val="22"/>
        </w:rPr>
        <w:t xml:space="preserve">Data consumed (entity + attribute):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Data created/modified: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Data volumes: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Caching requirements: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120"/>
      </w:pPr>
    </w:p>
    <w:p>
      <w:pPr>
        <w:pStyle w:val="Heading2"/>
        <w:spacing w:after="120" w:before="400"/>
      </w:pPr>
      <w:r>
        <w:t xml:space="preserve">8. Integration Touchpoints</w:t>
      </w:r>
    </w:p>
    <w:p>
      <w:pPr>
        <w:spacing w:after="80"/>
      </w:pPr>
      <w:r>
        <w:rPr>
          <w:b/>
          <w:bCs/>
          <w:color w:val="1e3a5f"/>
          <w:sz w:val="20"/>
          <w:szCs w:val="20"/>
        </w:rPr>
        <w:t xml:space="preserve">[GUIDANCE] </w:t>
      </w:r>
      <w:r>
        <w:rPr>
          <w:i/>
          <w:iCs/>
          <w:color w:val="1e3a5f"/>
          <w:sz w:val="20"/>
          <w:szCs w:val="20"/>
        </w:rPr>
        <w:t xml:space="preserve">List systems, APIs, or services this story must interact with. Confirm the interface contract is agreed before development starts. Common pitfall: discovering that an API does not exist or is not accessible until late in the sprint.</w:t>
      </w:r>
    </w:p>
    <w:p>
      <w:pPr>
        <w:spacing w:after="160"/>
      </w:pPr>
      <w:r>
        <w:rPr>
          <w:b/>
          <w:bCs/>
          <w:color w:val="2e7d32"/>
          <w:sz w:val="20"/>
          <w:szCs w:val="20"/>
        </w:rPr>
        <w:t xml:space="preserve">[EXAMPLE] </w:t>
      </w:r>
      <w:r>
        <w:rPr>
          <w:color w:val="2e7d32"/>
          <w:sz w:val="20"/>
          <w:szCs w:val="20"/>
        </w:rPr>
        <w:t xml:space="preserve">WarehouseService REST API — endpoint: GET /api/v2/stock/{productId}. Authentication: API key in header (X-API-Key). Environment: staging URL confirmed; production URL pending IT sign-off. SLA: 99.5% availability, &lt;200ms p95. Failure handling: if API times out, display "Stock information temporarily unavailable" — do not block purchase.</w:t>
      </w:r>
    </w:p>
    <w:p>
      <w:pPr>
        <w:spacing w:after="80"/>
      </w:pPr>
      <w:r>
        <w:rPr>
          <w:b/>
          <w:bCs/>
          <w:sz w:val="22"/>
          <w:szCs w:val="22"/>
        </w:rPr>
        <w:t xml:space="preserve">System/API name: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Endpoint / interface: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Authentication method: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Failure handling: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120"/>
      </w:pPr>
    </w:p>
    <w:p>
      <w:pPr>
        <w:pStyle w:val="Heading2"/>
        <w:spacing w:after="120" w:before="400"/>
      </w:pPr>
      <w:r>
        <w:t xml:space="preserve">9. Non-Functional Requirements</w:t>
      </w:r>
    </w:p>
    <w:p>
      <w:pPr>
        <w:spacing w:after="80"/>
      </w:pPr>
      <w:r>
        <w:rPr>
          <w:b/>
          <w:bCs/>
          <w:color w:val="1e3a5f"/>
          <w:sz w:val="20"/>
          <w:szCs w:val="20"/>
        </w:rPr>
        <w:t xml:space="preserve">[GUIDANCE] </w:t>
      </w:r>
      <w:r>
        <w:rPr>
          <w:i/>
          <w:iCs/>
          <w:color w:val="1e3a5f"/>
          <w:sz w:val="20"/>
          <w:szCs w:val="20"/>
        </w:rPr>
        <w:t xml:space="preserve">Record NFRs specific to this story. Reference the system-level NFRs from the BRD and add story-specific targets. Common pitfall: ignoring performance requirements for individual stories, leading to a product that passes functional tests but fails under load.</w:t>
      </w:r>
    </w:p>
    <w:p>
      <w:pPr>
        <w:spacing w:after="160"/>
      </w:pPr>
      <w:r>
        <w:rPr>
          <w:b/>
          <w:bCs/>
          <w:color w:val="2e7d32"/>
          <w:sz w:val="20"/>
          <w:szCs w:val="20"/>
        </w:rPr>
        <w:t xml:space="preserve">[EXAMPLE] </w:t>
      </w:r>
      <w:r>
        <w:rPr>
          <w:color w:val="2e7d32"/>
          <w:sz w:val="20"/>
          <w:szCs w:val="20"/>
        </w:rPr>
        <w:t xml:space="preserve">Performance: API call must complete in &lt;200ms p95. If call exceeds 500ms, display a spinner after 300ms threshold. Accessibility: "Out of Stock" status must be announced to screen readers (aria-live region). Error state must not rely on colour alone (add icon + text). Security: API key must not be exposed in client-side code — proxy through Next.js API route.</w:t>
      </w:r>
    </w:p>
    <w:p>
      <w:pPr>
        <w:spacing w:after="80"/>
      </w:pPr>
      <w:r>
        <w:rPr>
          <w:b/>
          <w:bCs/>
          <w:sz w:val="22"/>
          <w:szCs w:val="22"/>
        </w:rPr>
        <w:t xml:space="preserve">Performance target: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Accessibility requirements: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Security requirements: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120"/>
      </w:pPr>
    </w:p>
    <w:sectPr>
      <w:footerReference w:type="default" r:id="rId7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color w:val="888888"/>
        <w:sz w:val="16"/>
        <w:szCs w:val="16"/>
      </w:rPr>
      <w:t xml:space="preserve">BAHub — BusinessAnalysis.hopto.org  |  User Story Template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2026-05-25T09:18:02.997Z</dcterms:created>
  <dcterms:modified xsi:type="dcterms:W3CDTF">2026-05-25T09:18:02.997Z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